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 xml:space="preserve">Zarząd LGD „Trygon – Rozwój i Innowacja” </w:t>
      </w:r>
      <w:r w:rsidR="00A27F06" w:rsidRPr="00AD4427">
        <w:rPr>
          <w:sz w:val="24"/>
          <w:szCs w:val="24"/>
        </w:rPr>
        <w:t xml:space="preserve">w związku </w:t>
      </w:r>
      <w:r w:rsidR="00722C21" w:rsidRPr="00AD4427">
        <w:rPr>
          <w:sz w:val="24"/>
          <w:szCs w:val="24"/>
        </w:rPr>
        <w:t xml:space="preserve">koniecznością </w:t>
      </w:r>
      <w:r w:rsidR="00AD4427" w:rsidRPr="00AD4427">
        <w:rPr>
          <w:sz w:val="24"/>
          <w:szCs w:val="24"/>
        </w:rPr>
        <w:t>ujednolicenia dokumentów służących realizacji strategii</w:t>
      </w:r>
      <w:r w:rsidR="00A27F06" w:rsidRPr="00AD4427">
        <w:rPr>
          <w:sz w:val="24"/>
          <w:szCs w:val="24"/>
        </w:rPr>
        <w:t xml:space="preserve">, </w:t>
      </w:r>
      <w:r w:rsidRPr="00AD4427">
        <w:rPr>
          <w:sz w:val="24"/>
          <w:szCs w:val="24"/>
        </w:rPr>
        <w:t xml:space="preserve">występuje z wnioskiem </w:t>
      </w:r>
      <w:r w:rsidR="00722C21" w:rsidRPr="00AD4427">
        <w:rPr>
          <w:sz w:val="24"/>
          <w:szCs w:val="24"/>
        </w:rPr>
        <w:t>do społeczności obszaru LGD (Gmin Boguchwała, Lubenia, Świlcza)</w:t>
      </w:r>
      <w:r w:rsidRPr="00AD4427">
        <w:rPr>
          <w:sz w:val="24"/>
          <w:szCs w:val="24"/>
        </w:rPr>
        <w:t xml:space="preserve"> </w:t>
      </w:r>
      <w:r w:rsidR="00722C21" w:rsidRPr="00AD4427">
        <w:rPr>
          <w:sz w:val="24"/>
          <w:szCs w:val="24"/>
        </w:rPr>
        <w:t xml:space="preserve">o zaopiniowanie </w:t>
      </w:r>
      <w:r w:rsidRPr="00AD4427">
        <w:rPr>
          <w:sz w:val="24"/>
          <w:szCs w:val="24"/>
        </w:rPr>
        <w:t xml:space="preserve">zmian polegających na zmianie zapisów </w:t>
      </w:r>
      <w:r w:rsidR="00AD4427" w:rsidRPr="00AD4427">
        <w:rPr>
          <w:sz w:val="24"/>
          <w:szCs w:val="24"/>
        </w:rPr>
        <w:t>załącznika nr 9„Procedura ustalania lub zmiany kryteriów wyboru operacji”,  do Procedury wyboru i oceny operacji w ramach Strategii Rozwoju Lokalnego kierowanego przez społeczność na lata 2014-2020 wraz z wzorami stosowanych dokumentów w zakresie sposobu aktualizacji kryteriów wyboru operacji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Pr="006667D1" w:rsidRDefault="00D167EE" w:rsidP="00D167EE">
      <w:pPr>
        <w:jc w:val="both"/>
        <w:rPr>
          <w:rFonts w:ascii="Times New Roman" w:hAnsi="Times New Roman" w:cs="Times New Roman"/>
          <w:b/>
        </w:rPr>
      </w:pPr>
      <w:r w:rsidRPr="006667D1">
        <w:rPr>
          <w:rFonts w:ascii="Times New Roman" w:hAnsi="Times New Roman" w:cs="Times New Roman"/>
          <w:b/>
        </w:rPr>
        <w:t>Proponowane zmiany</w:t>
      </w:r>
      <w:r>
        <w:rPr>
          <w:rFonts w:ascii="Times New Roman" w:hAnsi="Times New Roman" w:cs="Times New Roman"/>
          <w:b/>
        </w:rPr>
        <w:t>:</w:t>
      </w:r>
      <w:r w:rsidRPr="006667D1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634" w:type="dxa"/>
        <w:jc w:val="center"/>
        <w:tblLook w:val="04A0"/>
      </w:tblPr>
      <w:tblGrid>
        <w:gridCol w:w="4531"/>
        <w:gridCol w:w="5103"/>
      </w:tblGrid>
      <w:tr w:rsidR="00D167EE" w:rsidRPr="006667D1" w:rsidTr="004E1965">
        <w:trPr>
          <w:jc w:val="center"/>
        </w:trPr>
        <w:tc>
          <w:tcPr>
            <w:tcW w:w="9634" w:type="dxa"/>
            <w:gridSpan w:val="2"/>
          </w:tcPr>
          <w:p w:rsidR="00D167EE" w:rsidRPr="006667D1" w:rsidRDefault="00D167EE" w:rsidP="004E1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67D1">
              <w:rPr>
                <w:rFonts w:ascii="Times New Roman" w:hAnsi="Times New Roman" w:cs="Times New Roman"/>
                <w:b/>
              </w:rPr>
              <w:t xml:space="preserve">Formularz proponowanych zmian </w:t>
            </w:r>
            <w:r>
              <w:rPr>
                <w:rFonts w:ascii="Times New Roman" w:hAnsi="Times New Roman" w:cs="Times New Roman"/>
                <w:b/>
              </w:rPr>
              <w:t xml:space="preserve">do </w:t>
            </w:r>
            <w:r w:rsidR="00521E8A" w:rsidRPr="00521E8A">
              <w:rPr>
                <w:rFonts w:ascii="Times New Roman" w:hAnsi="Times New Roman" w:cs="Times New Roman"/>
                <w:b/>
              </w:rPr>
              <w:t>Procedury wyboru i oceny operacji w ramach Strategii Rozwoju Lokalnego kierowanego przez społeczność na lata 2014-2020 wraz z wzorami stosowanych dokumentów</w:t>
            </w:r>
          </w:p>
        </w:tc>
      </w:tr>
      <w:tr w:rsidR="00D167EE" w:rsidTr="006D6111">
        <w:trPr>
          <w:trHeight w:val="1338"/>
          <w:jc w:val="center"/>
        </w:trPr>
        <w:tc>
          <w:tcPr>
            <w:tcW w:w="4531" w:type="dxa"/>
            <w:shd w:val="clear" w:color="auto" w:fill="DAEEF3" w:themeFill="accent5" w:themeFillTint="33"/>
          </w:tcPr>
          <w:p w:rsidR="00D92440" w:rsidRPr="008E23BC" w:rsidRDefault="008E23BC" w:rsidP="00877CB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załącznik</w:t>
            </w:r>
            <w:r w:rsidRPr="008E23BC">
              <w:rPr>
                <w:rFonts w:ascii="Times New Roman" w:hAnsi="Times New Roman" w:cs="Times New Roman"/>
                <w:sz w:val="18"/>
                <w:szCs w:val="24"/>
              </w:rPr>
              <w:t xml:space="preserve"> nr 9 </w:t>
            </w:r>
            <w:r w:rsidR="007910AB" w:rsidRPr="006607AA">
              <w:rPr>
                <w:rFonts w:ascii="Times New Roman" w:hAnsi="Times New Roman" w:cs="Times New Roman"/>
                <w:sz w:val="18"/>
                <w:szCs w:val="24"/>
              </w:rPr>
              <w:t>„</w:t>
            </w:r>
            <w:r w:rsidR="00877CBC" w:rsidRPr="006607AA">
              <w:rPr>
                <w:rFonts w:ascii="Times New Roman" w:hAnsi="Times New Roman" w:cs="Times New Roman"/>
                <w:sz w:val="18"/>
                <w:szCs w:val="24"/>
              </w:rPr>
              <w:t>Procedura ustalania lub zmiany kryteriów wyboru operacji”</w:t>
            </w:r>
            <w:r w:rsidR="007910AB" w:rsidRPr="006607AA">
              <w:rPr>
                <w:rFonts w:ascii="Times New Roman" w:hAnsi="Times New Roman" w:cs="Times New Roman"/>
                <w:sz w:val="18"/>
                <w:szCs w:val="24"/>
              </w:rPr>
              <w:t>/sposób postępowania/pkt 3</w:t>
            </w:r>
            <w:r w:rsidR="00877CBC">
              <w:rPr>
                <w:rFonts w:ascii="Times New Roman" w:hAnsi="Times New Roman" w:cs="Times New Roman"/>
                <w:sz w:val="18"/>
                <w:szCs w:val="24"/>
              </w:rPr>
              <w:t xml:space="preserve"> do </w:t>
            </w:r>
            <w:r w:rsidRPr="008E23BC">
              <w:rPr>
                <w:rFonts w:ascii="Times New Roman" w:hAnsi="Times New Roman" w:cs="Times New Roman"/>
                <w:sz w:val="18"/>
                <w:szCs w:val="24"/>
              </w:rPr>
              <w:t>Procedury wyboru i oceny operacji w ramach Strategii Rozwoju Lokalnego kierowanego przez społeczność na lata 2014-2020 wraz z wzorami stosowanych dokumentów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D92440" w:rsidRPr="006D6111" w:rsidRDefault="007910AB" w:rsidP="00411E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załącznik</w:t>
            </w:r>
            <w:r w:rsidRPr="008E23BC">
              <w:rPr>
                <w:rFonts w:ascii="Times New Roman" w:hAnsi="Times New Roman" w:cs="Times New Roman"/>
                <w:sz w:val="18"/>
                <w:szCs w:val="24"/>
              </w:rPr>
              <w:t xml:space="preserve"> nr 9 </w:t>
            </w:r>
            <w:r w:rsidRPr="006607AA">
              <w:rPr>
                <w:rFonts w:ascii="Times New Roman" w:hAnsi="Times New Roman" w:cs="Times New Roman"/>
                <w:sz w:val="18"/>
                <w:szCs w:val="24"/>
              </w:rPr>
              <w:t>„Procedura ustalania lub zmiany kryteriów wyboru operacji”/sposób postępowania/pkt 3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do </w:t>
            </w:r>
            <w:r w:rsidRPr="008E23BC">
              <w:rPr>
                <w:rFonts w:ascii="Times New Roman" w:hAnsi="Times New Roman" w:cs="Times New Roman"/>
                <w:sz w:val="18"/>
                <w:szCs w:val="24"/>
              </w:rPr>
              <w:t>Procedury wyboru i oceny operacji w ramach Strategii Rozwoju Lokalnego kierowanego przez społeczność na lata 2014-2020 wraz z wzorami stosowanych dokumentów</w:t>
            </w:r>
          </w:p>
        </w:tc>
      </w:tr>
      <w:tr w:rsidR="006D6111" w:rsidTr="006D6111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C10123" w:rsidRDefault="00411E77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Obecny zapis: </w:t>
            </w:r>
          </w:p>
          <w:p w:rsidR="00C10123" w:rsidRDefault="00C10123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123" w:rsidRPr="00584D33" w:rsidRDefault="00C10123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„Proces zmiany kryteriów wyboru operacji </w:t>
            </w:r>
            <w:r w:rsidRPr="00584D33">
              <w:rPr>
                <w:rFonts w:ascii="Times New Roman" w:hAnsi="Times New Roman" w:cs="Times New Roman"/>
                <w:sz w:val="18"/>
                <w:szCs w:val="18"/>
              </w:rPr>
              <w:t>odbywa się na zasada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 podobnych do ich wypracowania</w:t>
            </w:r>
            <w:r w:rsidRPr="00584D33">
              <w:rPr>
                <w:rFonts w:ascii="Times New Roman" w:hAnsi="Times New Roman" w:cs="Times New Roman"/>
                <w:sz w:val="18"/>
                <w:szCs w:val="18"/>
              </w:rPr>
              <w:t xml:space="preserve"> tj. obejmuje ponowną diagnozę obszaru, aktualizację analizy SWOT, przeprowadzenie konsultacji proponowanych zmian oraz wymaga każdorazowo zgody Samorządu Województwa oraz 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ceptacji wprowadzonych zmian”</w:t>
            </w:r>
          </w:p>
          <w:p w:rsidR="006D6111" w:rsidRDefault="006D6111" w:rsidP="00C1012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D6111" w:rsidRDefault="00411E77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Proponowany zapis: </w:t>
            </w:r>
          </w:p>
          <w:p w:rsidR="00796F76" w:rsidRPr="00796F76" w:rsidRDefault="00515B93" w:rsidP="00796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796F76" w:rsidRP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Proces aktualizacji odbywa się w sposób następujący tj. Zarząd, we współpracy z Biurem LGD, or</w:t>
            </w:r>
            <w:r w:rsid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ganizuje proces zmiany kryteriów wyboru </w:t>
            </w:r>
            <w:r w:rsidR="00796F76" w:rsidRP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dla jak najpełniejszego jej wdrożenia dokonuje dookreślenia zakresu i brzmienia proponowanych zmian oraz określa metody angażowania społeczności lokalnej</w:t>
            </w:r>
            <w:r w:rsid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proces zmian lub aktualizacji kryteriów wyboru</w:t>
            </w:r>
            <w:r w:rsidR="00796F76" w:rsidRP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m.in. przez zamieszczenie na stronach internetowych LGD oraz wszystkich gmin będących jej członkami, pr</w:t>
            </w:r>
            <w:r w:rsid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oponowanych zmian kryteriów wyboru</w:t>
            </w:r>
            <w:r w:rsidR="00796F76" w:rsidRPr="00796F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wraz z uzasadnieniem i określeniem terminu na zgłaszanie uwag i propozycji. </w:t>
            </w:r>
          </w:p>
          <w:p w:rsidR="00796F76" w:rsidRPr="00796F76" w:rsidRDefault="00796F76" w:rsidP="00796F76">
            <w:pPr>
              <w:pStyle w:val="Default"/>
              <w:spacing w:after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6F76">
              <w:rPr>
                <w:rFonts w:ascii="Times New Roman" w:hAnsi="Times New Roman" w:cs="Times New Roman"/>
                <w:sz w:val="18"/>
                <w:szCs w:val="18"/>
              </w:rPr>
              <w:t xml:space="preserve">Po zakończeniu konsultacji społecznych Zarząd opracowuje końcową wersję propozycji zmian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kryteriów</w:t>
            </w:r>
            <w:r w:rsidRPr="00796F76">
              <w:rPr>
                <w:rFonts w:ascii="Times New Roman" w:hAnsi="Times New Roman" w:cs="Times New Roman"/>
                <w:sz w:val="18"/>
                <w:szCs w:val="18"/>
              </w:rPr>
              <w:t>. Zaproponowane zmiany wymagają każdorazowo aprobaty WZC oraz zgody Samorządu Województwa i akceptacji proponowanych zmian</w:t>
            </w:r>
            <w:r w:rsidR="00515B93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796F76" w:rsidRDefault="00796F76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123" w:rsidRPr="00584D33" w:rsidRDefault="00C10123" w:rsidP="00C10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7EE" w:rsidTr="004E1965">
        <w:trPr>
          <w:jc w:val="center"/>
        </w:trPr>
        <w:tc>
          <w:tcPr>
            <w:tcW w:w="9634" w:type="dxa"/>
            <w:gridSpan w:val="2"/>
          </w:tcPr>
          <w:p w:rsidR="00D167EE" w:rsidRPr="00584D33" w:rsidRDefault="00D167EE" w:rsidP="0075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33">
              <w:rPr>
                <w:rFonts w:ascii="Times New Roman" w:hAnsi="Times New Roman" w:cs="Times New Roman"/>
                <w:sz w:val="18"/>
                <w:szCs w:val="18"/>
              </w:rPr>
              <w:t>Uzasadnienie zmiany zapisu</w:t>
            </w:r>
            <w:r w:rsidR="007569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167EE" w:rsidTr="004E1965">
        <w:trPr>
          <w:trHeight w:val="547"/>
          <w:jc w:val="center"/>
        </w:trPr>
        <w:tc>
          <w:tcPr>
            <w:tcW w:w="9634" w:type="dxa"/>
            <w:gridSpan w:val="2"/>
          </w:tcPr>
          <w:p w:rsidR="00D167EE" w:rsidRPr="00584D33" w:rsidRDefault="00796F76" w:rsidP="008135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zapisu aktualizacji i zmiany kryteriów wyboru podyktowana jest koniecznością usystematyzowania i ujednolicenia dokumentów służących realizacji strategii w związku 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>ze zmianami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353E">
              <w:rPr>
                <w:rFonts w:ascii="Times New Roman" w:hAnsi="Times New Roman" w:cs="Times New Roman"/>
                <w:sz w:val="18"/>
                <w:szCs w:val="18"/>
              </w:rPr>
              <w:t>odnoszącymi się do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 xml:space="preserve"> aktualizacji LSR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wprowadzonymi 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 xml:space="preserve">przez WZC </w:t>
            </w:r>
            <w:r w:rsidR="0081353E">
              <w:rPr>
                <w:rFonts w:ascii="Times New Roman" w:hAnsi="Times New Roman" w:cs="Times New Roman"/>
                <w:sz w:val="18"/>
                <w:szCs w:val="18"/>
              </w:rPr>
              <w:t xml:space="preserve">uchwałą nr 6/2017 z dnia </w:t>
            </w:r>
            <w:r w:rsidR="00494363">
              <w:rPr>
                <w:rFonts w:ascii="Times New Roman" w:hAnsi="Times New Roman" w:cs="Times New Roman"/>
                <w:sz w:val="18"/>
                <w:szCs w:val="18"/>
              </w:rPr>
              <w:t>14.12.2017r.</w:t>
            </w:r>
            <w:r w:rsidR="0081353E">
              <w:rPr>
                <w:rFonts w:ascii="Times New Roman" w:hAnsi="Times New Roman" w:cs="Times New Roman"/>
                <w:sz w:val="18"/>
                <w:szCs w:val="18"/>
              </w:rPr>
              <w:t xml:space="preserve"> w sprawie przyjęcia zmian Strategii Rozwoju Lokalnego kierowanego przez społeczność na lata 2014-2020.</w:t>
            </w:r>
          </w:p>
        </w:tc>
      </w:tr>
    </w:tbl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9530B"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FA" w:rsidRDefault="001758FA" w:rsidP="0059530B">
      <w:pPr>
        <w:spacing w:after="0" w:line="240" w:lineRule="auto"/>
      </w:pPr>
      <w:r>
        <w:separator/>
      </w:r>
    </w:p>
  </w:endnote>
  <w:endnote w:type="continuationSeparator" w:id="0">
    <w:p w:rsidR="001758FA" w:rsidRDefault="001758FA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FA" w:rsidRDefault="001758FA" w:rsidP="0059530B">
      <w:pPr>
        <w:spacing w:after="0" w:line="240" w:lineRule="auto"/>
      </w:pPr>
      <w:r>
        <w:separator/>
      </w:r>
    </w:p>
  </w:footnote>
  <w:footnote w:type="continuationSeparator" w:id="0">
    <w:p w:rsidR="001758FA" w:rsidRDefault="001758FA" w:rsidP="0059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A2792"/>
    <w:rsid w:val="000B35B7"/>
    <w:rsid w:val="000C00FF"/>
    <w:rsid w:val="00141C1B"/>
    <w:rsid w:val="00142759"/>
    <w:rsid w:val="001475C6"/>
    <w:rsid w:val="00162E48"/>
    <w:rsid w:val="001758FA"/>
    <w:rsid w:val="001876EE"/>
    <w:rsid w:val="001D38EE"/>
    <w:rsid w:val="00261C14"/>
    <w:rsid w:val="00282C01"/>
    <w:rsid w:val="00292E44"/>
    <w:rsid w:val="002F5945"/>
    <w:rsid w:val="002F73E0"/>
    <w:rsid w:val="00346936"/>
    <w:rsid w:val="00371F9C"/>
    <w:rsid w:val="00374A62"/>
    <w:rsid w:val="00397EEF"/>
    <w:rsid w:val="003D40FD"/>
    <w:rsid w:val="00411E77"/>
    <w:rsid w:val="00494363"/>
    <w:rsid w:val="004B076B"/>
    <w:rsid w:val="004B523A"/>
    <w:rsid w:val="005031B9"/>
    <w:rsid w:val="00515B93"/>
    <w:rsid w:val="00521E8A"/>
    <w:rsid w:val="00526335"/>
    <w:rsid w:val="0059530B"/>
    <w:rsid w:val="005A0877"/>
    <w:rsid w:val="005D4F70"/>
    <w:rsid w:val="005E46D0"/>
    <w:rsid w:val="005F6EED"/>
    <w:rsid w:val="00633733"/>
    <w:rsid w:val="006607AA"/>
    <w:rsid w:val="00685C30"/>
    <w:rsid w:val="006A390F"/>
    <w:rsid w:val="006D6111"/>
    <w:rsid w:val="006F22B3"/>
    <w:rsid w:val="007225C3"/>
    <w:rsid w:val="00722C21"/>
    <w:rsid w:val="00733D88"/>
    <w:rsid w:val="00756974"/>
    <w:rsid w:val="00780A4D"/>
    <w:rsid w:val="007910AB"/>
    <w:rsid w:val="00796F76"/>
    <w:rsid w:val="0079702E"/>
    <w:rsid w:val="007D25EC"/>
    <w:rsid w:val="0081353E"/>
    <w:rsid w:val="008138A3"/>
    <w:rsid w:val="00824986"/>
    <w:rsid w:val="00877CBC"/>
    <w:rsid w:val="008C2E61"/>
    <w:rsid w:val="008E23BC"/>
    <w:rsid w:val="008F3270"/>
    <w:rsid w:val="00904CAB"/>
    <w:rsid w:val="009239C4"/>
    <w:rsid w:val="0093540D"/>
    <w:rsid w:val="00972613"/>
    <w:rsid w:val="009A11BB"/>
    <w:rsid w:val="009B7B95"/>
    <w:rsid w:val="00A07B00"/>
    <w:rsid w:val="00A27F06"/>
    <w:rsid w:val="00A8155A"/>
    <w:rsid w:val="00AA2F30"/>
    <w:rsid w:val="00AA4138"/>
    <w:rsid w:val="00AD4427"/>
    <w:rsid w:val="00B2596A"/>
    <w:rsid w:val="00B772CE"/>
    <w:rsid w:val="00BA4B15"/>
    <w:rsid w:val="00BC4730"/>
    <w:rsid w:val="00C10123"/>
    <w:rsid w:val="00C619E9"/>
    <w:rsid w:val="00C74C0D"/>
    <w:rsid w:val="00C80BCF"/>
    <w:rsid w:val="00D024FE"/>
    <w:rsid w:val="00D167EE"/>
    <w:rsid w:val="00D21BCB"/>
    <w:rsid w:val="00D36D92"/>
    <w:rsid w:val="00D92440"/>
    <w:rsid w:val="00DA2980"/>
    <w:rsid w:val="00DE5463"/>
    <w:rsid w:val="00DF0B1A"/>
    <w:rsid w:val="00E019C1"/>
    <w:rsid w:val="00F0255E"/>
    <w:rsid w:val="00F83C08"/>
    <w:rsid w:val="00F92F20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4E596-9D14-4707-B17B-30C3ADA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 </cp:lastModifiedBy>
  <cp:revision>16</cp:revision>
  <cp:lastPrinted>2017-11-27T12:36:00Z</cp:lastPrinted>
  <dcterms:created xsi:type="dcterms:W3CDTF">2018-02-22T10:02:00Z</dcterms:created>
  <dcterms:modified xsi:type="dcterms:W3CDTF">2018-04-11T10:19:00Z</dcterms:modified>
</cp:coreProperties>
</file>